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34974" w14:textId="77777777" w:rsidR="00BD73D0" w:rsidRPr="00381391" w:rsidRDefault="001B57F6" w:rsidP="00381391">
      <w:pPr>
        <w:spacing w:after="0" w:line="240" w:lineRule="auto"/>
        <w:rPr>
          <w:rFonts w:ascii="Garamond" w:hAnsi="Garamond"/>
          <w:b/>
          <w:sz w:val="24"/>
          <w:szCs w:val="24"/>
          <w:lang w:val="en-US"/>
        </w:rPr>
      </w:pPr>
      <w:r>
        <w:rPr>
          <w:rFonts w:ascii="Garamond" w:hAnsi="Garamond"/>
          <w:b/>
          <w:sz w:val="24"/>
          <w:szCs w:val="24"/>
          <w:lang w:val="en-GB"/>
        </w:rPr>
        <w:fldChar w:fldCharType="begin"/>
      </w:r>
      <w:r>
        <w:rPr>
          <w:rFonts w:ascii="Garamond" w:hAnsi="Garamond"/>
          <w:b/>
          <w:sz w:val="24"/>
          <w:szCs w:val="24"/>
          <w:lang w:val="en-GB"/>
        </w:rPr>
        <w:instrText xml:space="preserve"> MACROBUTTON  AcceptAllChangesInDocAndStopTracking "Title of the Paper (Please replace this text with the article title.)" </w:instrText>
      </w:r>
      <w:r>
        <w:rPr>
          <w:rFonts w:ascii="Garamond" w:hAnsi="Garamond"/>
          <w:b/>
          <w:sz w:val="24"/>
          <w:szCs w:val="24"/>
          <w:lang w:val="en-GB"/>
        </w:rPr>
        <w:fldChar w:fldCharType="end"/>
      </w:r>
    </w:p>
    <w:p w14:paraId="5C25B6B7" w14:textId="77777777" w:rsidR="00BD73D0" w:rsidRDefault="001B57F6" w:rsidP="004F7B9C">
      <w:pPr>
        <w:spacing w:after="0" w:line="240" w:lineRule="auto"/>
        <w:jc w:val="center"/>
        <w:rPr>
          <w:rFonts w:ascii="Garamond" w:hAnsi="Garamond"/>
          <w:sz w:val="24"/>
        </w:rPr>
      </w:pPr>
      <w:r>
        <w:rPr>
          <w:rFonts w:ascii="Garamond" w:hAnsi="Garamond"/>
          <w:sz w:val="24"/>
        </w:rPr>
        <w:fldChar w:fldCharType="begin"/>
      </w:r>
      <w:r>
        <w:rPr>
          <w:rFonts w:ascii="Garamond" w:hAnsi="Garamond"/>
          <w:sz w:val="24"/>
        </w:rPr>
        <w:instrText xml:space="preserve"> MACROBUTTON  AcceptAllChangesInDocAndStopTracking "Author's name (example: Tijana Petković)" </w:instrText>
      </w:r>
      <w:r>
        <w:rPr>
          <w:rFonts w:ascii="Garamond" w:hAnsi="Garamond"/>
          <w:sz w:val="24"/>
        </w:rPr>
        <w:fldChar w:fldCharType="end"/>
      </w:r>
    </w:p>
    <w:p w14:paraId="2DDF6093" w14:textId="77777777" w:rsidR="00493699" w:rsidRDefault="004F7B9C" w:rsidP="00493699">
      <w:pPr>
        <w:spacing w:after="0" w:line="240" w:lineRule="auto"/>
        <w:jc w:val="center"/>
        <w:rPr>
          <w:rFonts w:ascii="Garamond" w:hAnsi="Garamond"/>
          <w:sz w:val="24"/>
        </w:rPr>
      </w:pPr>
      <w:r>
        <w:rPr>
          <w:rFonts w:ascii="Garamond" w:hAnsi="Garamond"/>
          <w:sz w:val="24"/>
        </w:rPr>
        <w:fldChar w:fldCharType="begin"/>
      </w:r>
      <w:r>
        <w:rPr>
          <w:rFonts w:ascii="Garamond" w:hAnsi="Garamond"/>
          <w:sz w:val="24"/>
        </w:rPr>
        <w:instrText xml:space="preserve"> MACROBUTTON  AcceptAllChangesInDocAndStopTracking "Author's affiliation (example: Belgrade University)" </w:instrText>
      </w:r>
      <w:r>
        <w:rPr>
          <w:rFonts w:ascii="Garamond" w:hAnsi="Garamond"/>
          <w:sz w:val="24"/>
        </w:rPr>
        <w:fldChar w:fldCharType="end"/>
      </w:r>
    </w:p>
    <w:p w14:paraId="6D88B5ED" w14:textId="77777777" w:rsidR="00493699" w:rsidRDefault="00493699" w:rsidP="00493699">
      <w:pPr>
        <w:spacing w:after="0" w:line="240" w:lineRule="auto"/>
        <w:jc w:val="center"/>
        <w:rPr>
          <w:rFonts w:ascii="Garamond" w:hAnsi="Garamond" w:cs="Times New Roman"/>
          <w:b/>
          <w:iCs/>
        </w:rPr>
      </w:pPr>
    </w:p>
    <w:p w14:paraId="30B82CBA" w14:textId="77777777" w:rsidR="004F7B9C" w:rsidRPr="007F368E" w:rsidRDefault="007F368E" w:rsidP="007F368E">
      <w:pPr>
        <w:spacing w:after="0" w:line="240" w:lineRule="auto"/>
        <w:ind w:firstLine="706"/>
        <w:rPr>
          <w:rFonts w:ascii="Garamond" w:hAnsi="Garamond"/>
          <w:i/>
          <w:sz w:val="24"/>
        </w:rPr>
      </w:pPr>
      <w:r>
        <w:rPr>
          <w:rFonts w:ascii="Garamond" w:hAnsi="Garamond" w:cs="Times New Roman"/>
          <w:b/>
          <w:iCs/>
        </w:rPr>
        <w:t>Abstract.</w:t>
      </w:r>
      <w:r w:rsidR="001B57F6">
        <w:rPr>
          <w:rFonts w:ascii="Garamond" w:hAnsi="Garamond" w:cs="Times New Roman"/>
          <w:b/>
          <w:iCs/>
        </w:rPr>
        <w:t xml:space="preserve"> </w:t>
      </w:r>
      <w:r w:rsidR="004E1037">
        <w:rPr>
          <w:rFonts w:ascii="Garamond" w:hAnsi="Garamond"/>
          <w:i/>
          <w:lang w:val="en-GB"/>
        </w:rPr>
        <w:fldChar w:fldCharType="begin"/>
      </w:r>
      <w:r w:rsidR="004E1037">
        <w:rPr>
          <w:rFonts w:ascii="Garamond" w:hAnsi="Garamond"/>
          <w:i/>
          <w:lang w:val="en-GB"/>
        </w:rPr>
        <w:instrText xml:space="preserve"> MACROBUTTON  AcceptAllChangesInDocAndStopTracking "Abstract should summarize the content of the paper in min 200 words but max 250 words" </w:instrText>
      </w:r>
      <w:r w:rsidR="004E1037">
        <w:rPr>
          <w:rFonts w:ascii="Garamond" w:hAnsi="Garamond"/>
          <w:i/>
          <w:lang w:val="en-GB"/>
        </w:rPr>
        <w:fldChar w:fldCharType="end"/>
      </w:r>
    </w:p>
    <w:p w14:paraId="24989724" w14:textId="77777777" w:rsidR="007F368E" w:rsidRPr="007F368E" w:rsidRDefault="007F368E" w:rsidP="007F368E">
      <w:pPr>
        <w:spacing w:after="0" w:line="240" w:lineRule="auto"/>
        <w:ind w:firstLine="706"/>
        <w:rPr>
          <w:rFonts w:ascii="Garamond" w:hAnsi="Garamond"/>
          <w:lang w:val="en-US"/>
        </w:rPr>
      </w:pPr>
      <w:r w:rsidRPr="007F368E">
        <w:rPr>
          <w:rFonts w:ascii="Garamond" w:hAnsi="Garamond"/>
          <w:b/>
        </w:rPr>
        <w:t>Keywords:</w:t>
      </w:r>
      <w:r w:rsidRPr="007F368E">
        <w:rPr>
          <w:rFonts w:ascii="Garamond" w:hAnsi="Garamond"/>
        </w:rPr>
        <w:t xml:space="preserve"> </w:t>
      </w:r>
      <w:r>
        <w:rPr>
          <w:rFonts w:ascii="Garamond" w:hAnsi="Garamond"/>
        </w:rPr>
        <w:fldChar w:fldCharType="begin"/>
      </w:r>
      <w:r>
        <w:rPr>
          <w:rFonts w:ascii="Garamond" w:hAnsi="Garamond"/>
        </w:rPr>
        <w:instrText xml:space="preserve"> MACROBUTTON  AcceptAllChangesInDocAndStopTracking "Max 6 Keywords, separated with "," </w:instrText>
      </w:r>
      <w:r>
        <w:rPr>
          <w:rFonts w:ascii="Garamond" w:hAnsi="Garamond"/>
        </w:rPr>
        <w:fldChar w:fldCharType="end"/>
      </w:r>
    </w:p>
    <w:p w14:paraId="0CEB0311" w14:textId="77777777" w:rsidR="004F7B9C" w:rsidRDefault="004F7B9C" w:rsidP="004F7B9C">
      <w:pPr>
        <w:spacing w:after="0" w:line="240" w:lineRule="auto"/>
        <w:jc w:val="center"/>
        <w:rPr>
          <w:rFonts w:ascii="Garamond" w:hAnsi="Garamond"/>
          <w:sz w:val="24"/>
        </w:rPr>
      </w:pPr>
    </w:p>
    <w:p w14:paraId="2EE1657D" w14:textId="77777777" w:rsidR="007F368E" w:rsidRPr="00CD0837" w:rsidRDefault="007F368E" w:rsidP="007F368E">
      <w:pPr>
        <w:spacing w:after="0" w:line="240" w:lineRule="auto"/>
        <w:ind w:firstLine="709"/>
        <w:jc w:val="both"/>
        <w:rPr>
          <w:rFonts w:ascii="Garamond" w:hAnsi="Garamond"/>
          <w:sz w:val="24"/>
          <w:szCs w:val="24"/>
        </w:rPr>
      </w:pPr>
      <w:r w:rsidRPr="00CD0837">
        <w:rPr>
          <w:rFonts w:ascii="Garamond" w:hAnsi="Garamond"/>
          <w:b/>
          <w:sz w:val="24"/>
          <w:szCs w:val="24"/>
        </w:rPr>
        <w:t>Introduction</w:t>
      </w:r>
    </w:p>
    <w:p w14:paraId="17FF3CBC" w14:textId="77777777" w:rsidR="004F7B9C" w:rsidRPr="007F368E" w:rsidRDefault="007F368E" w:rsidP="007F368E">
      <w:pPr>
        <w:spacing w:after="0" w:line="240" w:lineRule="auto"/>
        <w:rPr>
          <w:rFonts w:ascii="Garamond" w:hAnsi="Garamond"/>
          <w:sz w:val="24"/>
          <w:szCs w:val="24"/>
        </w:rPr>
      </w:pPr>
      <w:r w:rsidRPr="007F368E">
        <w:rPr>
          <w:rFonts w:ascii="Garamond" w:hAnsi="Garamond"/>
          <w:sz w:val="24"/>
          <w:szCs w:val="24"/>
          <w:lang w:val="en-GB"/>
        </w:rPr>
        <w:fldChar w:fldCharType="begin"/>
      </w:r>
      <w:r w:rsidRPr="007F368E">
        <w:rPr>
          <w:rFonts w:ascii="Garamond" w:hAnsi="Garamond"/>
          <w:sz w:val="24"/>
          <w:szCs w:val="24"/>
          <w:lang w:val="en-GB"/>
        </w:rPr>
        <w:instrText xml:space="preserve"> MACROBUTTON NoMacro Please replace this text with context of your paper.</w:instrText>
      </w:r>
      <w:r w:rsidRPr="007F368E">
        <w:rPr>
          <w:rFonts w:ascii="Garamond" w:hAnsi="Garamond"/>
          <w:sz w:val="24"/>
          <w:szCs w:val="24"/>
          <w:lang w:val="en-GB"/>
        </w:rPr>
        <w:fldChar w:fldCharType="end"/>
      </w:r>
    </w:p>
    <w:p w14:paraId="35C9C759" w14:textId="77777777" w:rsidR="004F7B9C" w:rsidRDefault="004F7B9C" w:rsidP="004F7B9C">
      <w:pPr>
        <w:spacing w:after="0" w:line="240" w:lineRule="auto"/>
        <w:jc w:val="center"/>
        <w:rPr>
          <w:rFonts w:ascii="Garamond" w:hAnsi="Garamond"/>
          <w:sz w:val="24"/>
        </w:rPr>
      </w:pPr>
    </w:p>
    <w:p w14:paraId="18F16D03" w14:textId="77777777" w:rsidR="001B57F6" w:rsidRPr="001B57F6" w:rsidRDefault="001B57F6" w:rsidP="001B57F6">
      <w:pPr>
        <w:spacing w:after="0" w:line="240" w:lineRule="auto"/>
        <w:ind w:firstLine="709"/>
        <w:jc w:val="both"/>
        <w:rPr>
          <w:rFonts w:ascii="Garamond" w:hAnsi="Garamond"/>
          <w:color w:val="943634" w:themeColor="accent2" w:themeShade="BF"/>
          <w:sz w:val="24"/>
        </w:rPr>
      </w:pPr>
      <w:r w:rsidRPr="001B57F6">
        <w:rPr>
          <w:rFonts w:ascii="Garamond" w:hAnsi="Garamond"/>
          <w:color w:val="943634" w:themeColor="accent2" w:themeShade="BF"/>
          <w:sz w:val="24"/>
        </w:rPr>
        <w:t>Example:</w:t>
      </w:r>
    </w:p>
    <w:p w14:paraId="00EFD11A" w14:textId="77777777" w:rsidR="001B57F6" w:rsidRPr="001B57F6" w:rsidRDefault="001B57F6" w:rsidP="001B57F6">
      <w:pPr>
        <w:spacing w:after="0" w:line="240" w:lineRule="auto"/>
        <w:ind w:firstLine="709"/>
        <w:jc w:val="both"/>
        <w:rPr>
          <w:rFonts w:ascii="Garamond" w:hAnsi="Garamond"/>
          <w:color w:val="943634" w:themeColor="accent2" w:themeShade="BF"/>
          <w:sz w:val="24"/>
          <w:szCs w:val="24"/>
        </w:rPr>
      </w:pPr>
      <w:r w:rsidRPr="001B57F6">
        <w:rPr>
          <w:rFonts w:ascii="Garamond" w:hAnsi="Garamond"/>
          <w:color w:val="943634" w:themeColor="accent2" w:themeShade="BF"/>
          <w:sz w:val="24"/>
          <w:szCs w:val="24"/>
        </w:rPr>
        <w:t>The human embryo has been broadly defined as “the developing human during its early stages of development”</w:t>
      </w:r>
      <w:r w:rsidRPr="001B57F6">
        <w:rPr>
          <w:rStyle w:val="FootnoteReference"/>
          <w:rFonts w:ascii="Garamond" w:hAnsi="Garamond"/>
          <w:color w:val="943634" w:themeColor="accent2" w:themeShade="BF"/>
          <w:sz w:val="24"/>
          <w:szCs w:val="24"/>
        </w:rPr>
        <w:footnoteReference w:id="1"/>
      </w:r>
      <w:r w:rsidRPr="001B57F6">
        <w:rPr>
          <w:rFonts w:ascii="Garamond" w:hAnsi="Garamond"/>
          <w:color w:val="943634" w:themeColor="accent2" w:themeShade="BF"/>
          <w:sz w:val="24"/>
          <w:szCs w:val="24"/>
        </w:rPr>
        <w:t>. This period extends to the end of the eighth week when all the major structures are present. This period extend by the time when all major structures are present and that is end of the eighth week. This embryo is a union between an egg and sperm. Egg and sperm are collectively referred to as “gametes” and they contain all the genetic information inherited from the parents. Most world religions teach that all human life is sacred. But, when they need to define the status of the embryo in relation to the evolution and usage of scientifically reproductive assisted technologies, they have various views on whether or not, or at what point an embryo is considered a human being. The three main views concerning the status of the embryo are:</w:t>
      </w:r>
    </w:p>
    <w:p w14:paraId="0B359117" w14:textId="77777777" w:rsidR="001B57F6" w:rsidRPr="001B57F6" w:rsidRDefault="001B57F6" w:rsidP="001B57F6">
      <w:pPr>
        <w:pStyle w:val="ListParagraph"/>
        <w:numPr>
          <w:ilvl w:val="0"/>
          <w:numId w:val="1"/>
        </w:numPr>
        <w:spacing w:after="0" w:line="240" w:lineRule="auto"/>
        <w:ind w:left="0" w:firstLine="709"/>
        <w:jc w:val="both"/>
        <w:rPr>
          <w:rFonts w:ascii="Garamond" w:hAnsi="Garamond"/>
          <w:color w:val="943634" w:themeColor="accent2" w:themeShade="BF"/>
          <w:sz w:val="24"/>
          <w:szCs w:val="24"/>
        </w:rPr>
      </w:pPr>
      <w:r w:rsidRPr="001B57F6">
        <w:rPr>
          <w:rFonts w:ascii="Garamond" w:hAnsi="Garamond"/>
          <w:color w:val="943634" w:themeColor="accent2" w:themeShade="BF"/>
          <w:sz w:val="24"/>
          <w:szCs w:val="24"/>
        </w:rPr>
        <w:t>The embryo is merely human tissue and not a person as such.</w:t>
      </w:r>
    </w:p>
    <w:p w14:paraId="210BCD24" w14:textId="77777777" w:rsidR="001B57F6" w:rsidRPr="001B57F6" w:rsidRDefault="001B57F6" w:rsidP="001B57F6">
      <w:pPr>
        <w:pStyle w:val="ListParagraph"/>
        <w:numPr>
          <w:ilvl w:val="0"/>
          <w:numId w:val="1"/>
        </w:numPr>
        <w:spacing w:after="0" w:line="240" w:lineRule="auto"/>
        <w:ind w:left="0" w:firstLine="709"/>
        <w:jc w:val="both"/>
        <w:rPr>
          <w:rFonts w:ascii="Garamond" w:hAnsi="Garamond"/>
          <w:color w:val="943634" w:themeColor="accent2" w:themeShade="BF"/>
          <w:sz w:val="24"/>
          <w:szCs w:val="24"/>
        </w:rPr>
      </w:pPr>
      <w:r w:rsidRPr="001B57F6">
        <w:rPr>
          <w:rFonts w:ascii="Garamond" w:hAnsi="Garamond"/>
          <w:color w:val="943634" w:themeColor="accent2" w:themeShade="BF"/>
          <w:sz w:val="24"/>
          <w:szCs w:val="24"/>
        </w:rPr>
        <w:t>The embryo in its earliest form is only potentially human and must be differentiated from a foetus on its way to being born.</w:t>
      </w:r>
    </w:p>
    <w:p w14:paraId="5CC99C61" w14:textId="77777777" w:rsidR="001B57F6" w:rsidRPr="001B57F6" w:rsidRDefault="001B57F6" w:rsidP="001B57F6">
      <w:pPr>
        <w:pStyle w:val="ListParagraph"/>
        <w:numPr>
          <w:ilvl w:val="0"/>
          <w:numId w:val="1"/>
        </w:numPr>
        <w:spacing w:after="0" w:line="240" w:lineRule="auto"/>
        <w:ind w:left="0" w:firstLine="709"/>
        <w:jc w:val="both"/>
        <w:rPr>
          <w:rFonts w:ascii="Garamond" w:hAnsi="Garamond"/>
          <w:color w:val="943634" w:themeColor="accent2" w:themeShade="BF"/>
          <w:sz w:val="24"/>
          <w:szCs w:val="24"/>
        </w:rPr>
      </w:pPr>
      <w:r w:rsidRPr="001B57F6">
        <w:rPr>
          <w:rFonts w:ascii="Garamond" w:hAnsi="Garamond"/>
          <w:color w:val="943634" w:themeColor="accent2" w:themeShade="BF"/>
          <w:sz w:val="24"/>
          <w:szCs w:val="24"/>
        </w:rPr>
        <w:t>The embryo is, from the point of conception, already a human person, although it is at a vastly different prenatal stage</w:t>
      </w:r>
      <w:r w:rsidRPr="001B57F6">
        <w:rPr>
          <w:rStyle w:val="FootnoteReference"/>
          <w:rFonts w:ascii="Garamond" w:hAnsi="Garamond"/>
          <w:color w:val="943634" w:themeColor="accent2" w:themeShade="BF"/>
          <w:sz w:val="24"/>
          <w:szCs w:val="24"/>
        </w:rPr>
        <w:footnoteReference w:id="2"/>
      </w:r>
      <w:r w:rsidRPr="001B57F6">
        <w:rPr>
          <w:rFonts w:ascii="Garamond" w:hAnsi="Garamond"/>
          <w:color w:val="943634" w:themeColor="accent2" w:themeShade="BF"/>
          <w:sz w:val="24"/>
          <w:szCs w:val="24"/>
        </w:rPr>
        <w:t>.</w:t>
      </w:r>
    </w:p>
    <w:p w14:paraId="3D812392" w14:textId="77777777" w:rsidR="001B57F6" w:rsidRDefault="001B57F6" w:rsidP="001B57F6">
      <w:pPr>
        <w:spacing w:after="0" w:line="240" w:lineRule="auto"/>
        <w:rPr>
          <w:rFonts w:ascii="Garamond" w:hAnsi="Garamond"/>
          <w:color w:val="943634" w:themeColor="accent2" w:themeShade="BF"/>
          <w:sz w:val="24"/>
        </w:rPr>
      </w:pPr>
    </w:p>
    <w:p w14:paraId="1E3E709B" w14:textId="77777777" w:rsidR="004E1037" w:rsidRPr="004E1037" w:rsidRDefault="004E1037" w:rsidP="004E1037">
      <w:pPr>
        <w:spacing w:after="0" w:line="240" w:lineRule="auto"/>
        <w:ind w:firstLine="709"/>
        <w:jc w:val="both"/>
        <w:rPr>
          <w:rFonts w:ascii="Garamond" w:hAnsi="Garamond"/>
          <w:color w:val="943634" w:themeColor="accent2" w:themeShade="BF"/>
          <w:sz w:val="24"/>
          <w:szCs w:val="24"/>
        </w:rPr>
      </w:pPr>
      <w:r w:rsidRPr="004E1037">
        <w:rPr>
          <w:rFonts w:ascii="Garamond" w:hAnsi="Garamond"/>
          <w:b/>
          <w:color w:val="943634" w:themeColor="accent2" w:themeShade="BF"/>
          <w:sz w:val="24"/>
          <w:szCs w:val="24"/>
        </w:rPr>
        <w:t>Different positions throughout history</w:t>
      </w:r>
    </w:p>
    <w:p w14:paraId="5C72B89B" w14:textId="77777777" w:rsidR="004E1037" w:rsidRPr="004E1037" w:rsidRDefault="004E1037" w:rsidP="004E1037">
      <w:pPr>
        <w:spacing w:after="0" w:line="240" w:lineRule="auto"/>
        <w:ind w:firstLine="709"/>
        <w:jc w:val="both"/>
        <w:rPr>
          <w:rFonts w:ascii="Garamond" w:hAnsi="Garamond"/>
          <w:color w:val="943634" w:themeColor="accent2" w:themeShade="BF"/>
          <w:sz w:val="24"/>
          <w:szCs w:val="24"/>
        </w:rPr>
      </w:pPr>
      <w:r w:rsidRPr="004E1037">
        <w:rPr>
          <w:rFonts w:ascii="Garamond" w:hAnsi="Garamond"/>
          <w:color w:val="943634" w:themeColor="accent2" w:themeShade="BF"/>
          <w:sz w:val="24"/>
          <w:szCs w:val="24"/>
        </w:rPr>
        <w:t>Some scientists are not satisfied with the Christian Tradition for treating the early human embryo with “graded status and protection”. They claim that in Christian history we can find varying positions of different theologians, and Fathers of the Church that had different perspective and interpretation about status of the embryo. We will present the most important thoughts throughout history:</w:t>
      </w:r>
    </w:p>
    <w:p w14:paraId="38210B65" w14:textId="77777777" w:rsidR="004E1037" w:rsidRPr="001B57F6" w:rsidRDefault="004E1037" w:rsidP="001B57F6">
      <w:pPr>
        <w:spacing w:after="0" w:line="240" w:lineRule="auto"/>
        <w:rPr>
          <w:rFonts w:ascii="Garamond" w:hAnsi="Garamond"/>
          <w:color w:val="943634" w:themeColor="accent2" w:themeShade="BF"/>
          <w:sz w:val="24"/>
        </w:rPr>
      </w:pPr>
    </w:p>
    <w:p w14:paraId="66BEE98C" w14:textId="3AD69D7E" w:rsidR="00C60E8E" w:rsidRPr="00F96BFB" w:rsidRDefault="00C60E8E" w:rsidP="00C60E8E">
      <w:pPr>
        <w:pStyle w:val="FootnoteText"/>
        <w:jc w:val="both"/>
        <w:rPr>
          <w:rFonts w:ascii="Garamond" w:hAnsi="Garamond"/>
          <w:color w:val="943634" w:themeColor="accent2" w:themeShade="BF"/>
          <w:sz w:val="24"/>
          <w:szCs w:val="24"/>
          <w:lang w:val="en-GB"/>
        </w:rPr>
      </w:pPr>
      <w:r w:rsidRPr="00F96BFB">
        <w:rPr>
          <w:rFonts w:ascii="Garamond" w:hAnsi="Garamond"/>
          <w:color w:val="943634" w:themeColor="accent2" w:themeShade="BF"/>
          <w:sz w:val="24"/>
          <w:szCs w:val="24"/>
          <w:lang w:val="en-GB"/>
        </w:rPr>
        <w:lastRenderedPageBreak/>
        <w:t>All the references</w:t>
      </w:r>
      <w:r w:rsidR="00F96BFB">
        <w:rPr>
          <w:rFonts w:ascii="Garamond" w:hAnsi="Garamond"/>
          <w:color w:val="943634" w:themeColor="accent2" w:themeShade="BF"/>
          <w:sz w:val="24"/>
          <w:szCs w:val="24"/>
          <w:lang w:val="en-GB"/>
        </w:rPr>
        <w:t xml:space="preserve"> (bib</w:t>
      </w:r>
      <w:r w:rsidR="00CC3099">
        <w:rPr>
          <w:rFonts w:ascii="Garamond" w:hAnsi="Garamond"/>
          <w:color w:val="943634" w:themeColor="accent2" w:themeShade="BF"/>
          <w:sz w:val="24"/>
          <w:szCs w:val="24"/>
          <w:lang w:val="en-GB"/>
        </w:rPr>
        <w:t>l</w:t>
      </w:r>
      <w:bookmarkStart w:id="0" w:name="_GoBack"/>
      <w:bookmarkEnd w:id="0"/>
      <w:r w:rsidR="00F96BFB">
        <w:rPr>
          <w:rFonts w:ascii="Garamond" w:hAnsi="Garamond"/>
          <w:color w:val="943634" w:themeColor="accent2" w:themeShade="BF"/>
          <w:sz w:val="24"/>
          <w:szCs w:val="24"/>
          <w:lang w:val="en-GB"/>
        </w:rPr>
        <w:t>iography)</w:t>
      </w:r>
      <w:r w:rsidRPr="00F96BFB">
        <w:rPr>
          <w:rFonts w:ascii="Garamond" w:hAnsi="Garamond"/>
          <w:color w:val="943634" w:themeColor="accent2" w:themeShade="BF"/>
          <w:sz w:val="24"/>
          <w:szCs w:val="24"/>
          <w:lang w:val="en-GB"/>
        </w:rPr>
        <w:t xml:space="preserve"> must be inserted as footnotes (Ctrl+Alt+F)</w:t>
      </w:r>
    </w:p>
    <w:p w14:paraId="4512811E" w14:textId="77777777" w:rsidR="00C60E8E" w:rsidRPr="00F96BFB" w:rsidRDefault="00C60E8E" w:rsidP="00C60E8E">
      <w:pPr>
        <w:pStyle w:val="FootnoteText"/>
        <w:jc w:val="both"/>
        <w:rPr>
          <w:rFonts w:ascii="Garamond" w:hAnsi="Garamond"/>
          <w:b/>
          <w:color w:val="943634" w:themeColor="accent2" w:themeShade="BF"/>
          <w:sz w:val="24"/>
          <w:szCs w:val="24"/>
          <w:lang w:val="en-GB"/>
        </w:rPr>
      </w:pPr>
    </w:p>
    <w:p w14:paraId="71F02CE5" w14:textId="77777777" w:rsidR="00C60E8E" w:rsidRPr="00F96BFB" w:rsidRDefault="00C60E8E" w:rsidP="00C60E8E">
      <w:pPr>
        <w:pStyle w:val="FootnoteText"/>
        <w:jc w:val="both"/>
        <w:rPr>
          <w:rFonts w:ascii="Garamond" w:hAnsi="Garamond"/>
          <w:b/>
          <w:color w:val="943634" w:themeColor="accent2" w:themeShade="BF"/>
          <w:sz w:val="24"/>
          <w:szCs w:val="24"/>
          <w:lang w:val="en-GB"/>
        </w:rPr>
      </w:pPr>
      <w:r w:rsidRPr="00F96BFB">
        <w:rPr>
          <w:rFonts w:ascii="Garamond" w:hAnsi="Garamond"/>
          <w:b/>
          <w:color w:val="943634" w:themeColor="accent2" w:themeShade="BF"/>
          <w:sz w:val="24"/>
          <w:szCs w:val="24"/>
          <w:lang w:val="en-GB"/>
        </w:rPr>
        <w:t>Example of book (monograph) quotation in a footnote:</w:t>
      </w:r>
    </w:p>
    <w:p w14:paraId="25F73498" w14:textId="77777777" w:rsidR="00C60E8E" w:rsidRPr="00F96BFB" w:rsidRDefault="00C60E8E" w:rsidP="00C60E8E">
      <w:pPr>
        <w:pStyle w:val="FootnoteText"/>
        <w:jc w:val="both"/>
        <w:rPr>
          <w:rFonts w:ascii="Garamond" w:hAnsi="Garamond"/>
          <w:color w:val="943634" w:themeColor="accent2" w:themeShade="BF"/>
          <w:sz w:val="24"/>
          <w:szCs w:val="24"/>
          <w:lang w:val="en-GB"/>
        </w:rPr>
      </w:pPr>
      <w:r w:rsidRPr="00F96BFB">
        <w:rPr>
          <w:rStyle w:val="FootnoteReference"/>
          <w:rFonts w:ascii="Garamond" w:hAnsi="Garamond"/>
          <w:color w:val="943634" w:themeColor="accent2" w:themeShade="BF"/>
          <w:sz w:val="24"/>
          <w:szCs w:val="24"/>
          <w:lang w:val="en-GB"/>
        </w:rPr>
        <w:footnoteRef/>
      </w:r>
      <w:r w:rsidRPr="00F96BFB">
        <w:rPr>
          <w:rFonts w:ascii="Garamond" w:hAnsi="Garamond"/>
          <w:color w:val="943634" w:themeColor="accent2" w:themeShade="BF"/>
          <w:sz w:val="24"/>
          <w:szCs w:val="24"/>
          <w:lang w:val="en-GB"/>
        </w:rPr>
        <w:t xml:space="preserve">K. L. Moore, K. L., T. V. N. Persaud, </w:t>
      </w:r>
      <w:r w:rsidRPr="00F96BFB">
        <w:rPr>
          <w:rFonts w:ascii="Garamond" w:hAnsi="Garamond"/>
          <w:i/>
          <w:iCs/>
          <w:color w:val="943634" w:themeColor="accent2" w:themeShade="BF"/>
          <w:sz w:val="24"/>
          <w:szCs w:val="24"/>
          <w:lang w:val="en-GB"/>
        </w:rPr>
        <w:t xml:space="preserve">The Developing Human: Clinically Oriented Embryology, </w:t>
      </w:r>
      <w:r w:rsidRPr="00F96BFB">
        <w:rPr>
          <w:rFonts w:ascii="Garamond" w:hAnsi="Garamond"/>
          <w:color w:val="943634" w:themeColor="accent2" w:themeShade="BF"/>
          <w:sz w:val="24"/>
          <w:szCs w:val="24"/>
          <w:lang w:val="en-GB"/>
        </w:rPr>
        <w:t>7th edition, Philadelphia, Saunders, 2003, p. 12.</w:t>
      </w:r>
    </w:p>
    <w:p w14:paraId="17A9782C" w14:textId="77777777" w:rsidR="00C60E8E" w:rsidRPr="00F96BFB" w:rsidRDefault="00C60E8E" w:rsidP="00C60E8E">
      <w:pPr>
        <w:pStyle w:val="FootnoteText"/>
        <w:jc w:val="both"/>
        <w:rPr>
          <w:rFonts w:ascii="Garamond" w:hAnsi="Garamond"/>
          <w:color w:val="943634" w:themeColor="accent2" w:themeShade="BF"/>
          <w:sz w:val="24"/>
          <w:szCs w:val="24"/>
          <w:lang w:val="en-GB"/>
        </w:rPr>
      </w:pPr>
    </w:p>
    <w:p w14:paraId="5B73F85D" w14:textId="77777777" w:rsidR="00C60E8E" w:rsidRPr="00F96BFB" w:rsidRDefault="00C60E8E" w:rsidP="00C60E8E">
      <w:pPr>
        <w:pStyle w:val="FootnoteText"/>
        <w:jc w:val="both"/>
        <w:rPr>
          <w:rFonts w:ascii="Garamond" w:hAnsi="Garamond"/>
          <w:b/>
          <w:color w:val="943634" w:themeColor="accent2" w:themeShade="BF"/>
          <w:sz w:val="24"/>
          <w:szCs w:val="24"/>
          <w:lang w:val="en-GB"/>
        </w:rPr>
      </w:pPr>
      <w:r w:rsidRPr="00F96BFB">
        <w:rPr>
          <w:rFonts w:ascii="Garamond" w:hAnsi="Garamond"/>
          <w:b/>
          <w:color w:val="943634" w:themeColor="accent2" w:themeShade="BF"/>
          <w:sz w:val="24"/>
          <w:szCs w:val="24"/>
          <w:lang w:val="en-GB"/>
        </w:rPr>
        <w:t xml:space="preserve">Example of an article from a journal quotation: </w:t>
      </w:r>
    </w:p>
    <w:p w14:paraId="0B0BF376" w14:textId="77777777" w:rsidR="00C60E8E" w:rsidRPr="00F96BFB" w:rsidRDefault="00C60E8E" w:rsidP="00C60E8E">
      <w:pPr>
        <w:pStyle w:val="FootnoteText"/>
        <w:jc w:val="both"/>
        <w:rPr>
          <w:rFonts w:ascii="Garamond" w:hAnsi="Garamond"/>
          <w:color w:val="943634" w:themeColor="accent2" w:themeShade="BF"/>
          <w:sz w:val="24"/>
          <w:szCs w:val="24"/>
          <w:lang w:val="en-GB"/>
        </w:rPr>
      </w:pPr>
      <w:r w:rsidRPr="00F96BFB">
        <w:rPr>
          <w:rStyle w:val="FootnoteReference"/>
          <w:rFonts w:ascii="Garamond" w:hAnsi="Garamond"/>
          <w:color w:val="943634" w:themeColor="accent2" w:themeShade="BF"/>
          <w:sz w:val="24"/>
          <w:szCs w:val="24"/>
          <w:lang w:val="en-GB"/>
        </w:rPr>
        <w:footnoteRef/>
      </w:r>
      <w:r w:rsidRPr="00F96BFB">
        <w:rPr>
          <w:rFonts w:ascii="Garamond" w:hAnsi="Garamond"/>
          <w:color w:val="943634" w:themeColor="accent2" w:themeShade="BF"/>
          <w:sz w:val="24"/>
          <w:szCs w:val="24"/>
          <w:lang w:val="en-GB"/>
        </w:rPr>
        <w:t xml:space="preserve"> H. T. </w:t>
      </w:r>
      <w:r w:rsidRPr="00F96BFB">
        <w:rPr>
          <w:rFonts w:ascii="Garamond" w:hAnsi="Garamond"/>
          <w:bCs/>
          <w:color w:val="943634" w:themeColor="accent2" w:themeShade="BF"/>
          <w:sz w:val="24"/>
          <w:szCs w:val="24"/>
          <w:lang w:val="en-GB"/>
        </w:rPr>
        <w:t>Engelhardt Jr., "Orthodox Christian Bioethics: Some Foundational Differences from Western Christian Bioethics", în</w:t>
      </w:r>
      <w:r w:rsidRPr="00F96BFB">
        <w:rPr>
          <w:rFonts w:ascii="Garamond" w:hAnsi="Garamond"/>
          <w:i/>
          <w:color w:val="943634" w:themeColor="accent2" w:themeShade="BF"/>
          <w:sz w:val="24"/>
          <w:szCs w:val="24"/>
          <w:lang w:val="en-GB"/>
        </w:rPr>
        <w:t>Studies in Christian Ethics</w:t>
      </w:r>
      <w:r w:rsidRPr="00F96BFB">
        <w:rPr>
          <w:rFonts w:ascii="Garamond" w:hAnsi="Garamond"/>
          <w:color w:val="943634" w:themeColor="accent2" w:themeShade="BF"/>
          <w:sz w:val="24"/>
          <w:szCs w:val="24"/>
          <w:lang w:val="en-GB"/>
        </w:rPr>
        <w:t>, XXIV (2011), no. 4, p. 496.</w:t>
      </w:r>
    </w:p>
    <w:p w14:paraId="6487AA04" w14:textId="77777777" w:rsidR="00C60E8E" w:rsidRPr="00F96BFB" w:rsidRDefault="00C60E8E" w:rsidP="00C60E8E">
      <w:pPr>
        <w:pStyle w:val="FootnoteText"/>
        <w:jc w:val="both"/>
        <w:rPr>
          <w:rFonts w:ascii="Garamond" w:hAnsi="Garamond"/>
          <w:b/>
          <w:color w:val="943634" w:themeColor="accent2" w:themeShade="BF"/>
          <w:sz w:val="24"/>
          <w:szCs w:val="24"/>
          <w:lang w:val="en-GB"/>
        </w:rPr>
      </w:pPr>
    </w:p>
    <w:p w14:paraId="4392457A" w14:textId="77777777" w:rsidR="00C60E8E" w:rsidRPr="00F96BFB" w:rsidRDefault="00C60E8E" w:rsidP="00C60E8E">
      <w:pPr>
        <w:pStyle w:val="FootnoteText"/>
        <w:jc w:val="both"/>
        <w:rPr>
          <w:rFonts w:ascii="Garamond" w:hAnsi="Garamond"/>
          <w:b/>
          <w:color w:val="943634" w:themeColor="accent2" w:themeShade="BF"/>
          <w:sz w:val="24"/>
          <w:szCs w:val="24"/>
          <w:lang w:val="en-GB"/>
        </w:rPr>
      </w:pPr>
      <w:r w:rsidRPr="00F96BFB">
        <w:rPr>
          <w:rFonts w:ascii="Garamond" w:hAnsi="Garamond"/>
          <w:b/>
          <w:color w:val="943634" w:themeColor="accent2" w:themeShade="BF"/>
          <w:sz w:val="24"/>
          <w:szCs w:val="24"/>
          <w:lang w:val="en-GB"/>
        </w:rPr>
        <w:t>Example of a chapter in a book quotation:</w:t>
      </w:r>
    </w:p>
    <w:p w14:paraId="5D8033FB" w14:textId="77777777" w:rsidR="00C60E8E" w:rsidRPr="00F96BFB" w:rsidRDefault="00C60E8E" w:rsidP="00C60E8E">
      <w:pPr>
        <w:pStyle w:val="FootnoteText"/>
        <w:jc w:val="both"/>
        <w:rPr>
          <w:rFonts w:ascii="Garamond" w:hAnsi="Garamond"/>
          <w:b/>
          <w:color w:val="943634" w:themeColor="accent2" w:themeShade="BF"/>
          <w:sz w:val="24"/>
          <w:szCs w:val="24"/>
          <w:lang w:val="en-GB"/>
        </w:rPr>
      </w:pPr>
    </w:p>
    <w:p w14:paraId="1A571C25" w14:textId="77777777" w:rsidR="00C60E8E" w:rsidRPr="00F96BFB" w:rsidRDefault="00C60E8E" w:rsidP="00C60E8E">
      <w:pPr>
        <w:pStyle w:val="FootnoteText"/>
        <w:jc w:val="both"/>
        <w:rPr>
          <w:rFonts w:ascii="Garamond" w:hAnsi="Garamond"/>
          <w:color w:val="943634" w:themeColor="accent2" w:themeShade="BF"/>
          <w:sz w:val="24"/>
          <w:szCs w:val="24"/>
          <w:lang w:val="en-GB"/>
        </w:rPr>
      </w:pPr>
      <w:proofErr w:type="gramStart"/>
      <w:r w:rsidRPr="00F96BFB">
        <w:rPr>
          <w:rFonts w:ascii="Garamond" w:hAnsi="Garamond"/>
          <w:color w:val="943634" w:themeColor="accent2" w:themeShade="BF"/>
          <w:sz w:val="24"/>
          <w:szCs w:val="24"/>
          <w:lang w:val="en-GB"/>
        </w:rPr>
        <w:t>ElphidoporosLambriniadis ,,Ecological</w:t>
      </w:r>
      <w:proofErr w:type="gramEnd"/>
      <w:r w:rsidRPr="00F96BFB">
        <w:rPr>
          <w:rFonts w:ascii="Garamond" w:hAnsi="Garamond"/>
          <w:color w:val="943634" w:themeColor="accent2" w:themeShade="BF"/>
          <w:sz w:val="24"/>
          <w:szCs w:val="24"/>
          <w:lang w:val="en-GB"/>
        </w:rPr>
        <w:t xml:space="preserve"> and Inter-Generational Solidarity. Initiatives of The Ecumenical Patriarchate”, in Ingeborg Gabriel, Helmut Renockl (eds.), </w:t>
      </w:r>
      <w:r w:rsidRPr="00F96BFB">
        <w:rPr>
          <w:rFonts w:ascii="Garamond" w:hAnsi="Garamond"/>
          <w:i/>
          <w:color w:val="943634" w:themeColor="accent2" w:themeShade="BF"/>
          <w:sz w:val="24"/>
          <w:szCs w:val="24"/>
          <w:lang w:val="en-GB"/>
        </w:rPr>
        <w:t xml:space="preserve">Solidaritat in der Krise. Auf der SuchenachneuenWegen, </w:t>
      </w:r>
      <w:r w:rsidRPr="00F96BFB">
        <w:rPr>
          <w:rFonts w:ascii="Garamond" w:hAnsi="Garamond"/>
          <w:color w:val="943634" w:themeColor="accent2" w:themeShade="BF"/>
          <w:sz w:val="24"/>
          <w:szCs w:val="24"/>
          <w:lang w:val="en-GB"/>
        </w:rPr>
        <w:t xml:space="preserve">Wien-Wurzburg, EchterVerlag, 2012, p. 113-120. </w:t>
      </w:r>
    </w:p>
    <w:p w14:paraId="1ADF89DD" w14:textId="77777777" w:rsidR="00C60E8E" w:rsidRPr="00F96BFB" w:rsidRDefault="00C60E8E" w:rsidP="00C60E8E">
      <w:pPr>
        <w:pStyle w:val="FootnoteText"/>
        <w:jc w:val="both"/>
        <w:rPr>
          <w:rFonts w:ascii="Garamond" w:hAnsi="Garamond"/>
          <w:b/>
          <w:color w:val="943634" w:themeColor="accent2" w:themeShade="BF"/>
          <w:sz w:val="24"/>
          <w:szCs w:val="24"/>
          <w:lang w:val="en-GB"/>
        </w:rPr>
      </w:pPr>
    </w:p>
    <w:p w14:paraId="0CB8B5A3" w14:textId="77777777" w:rsidR="00C60E8E" w:rsidRPr="00F96BFB" w:rsidRDefault="00C60E8E" w:rsidP="00C60E8E">
      <w:pPr>
        <w:pStyle w:val="FootnoteText"/>
        <w:jc w:val="both"/>
        <w:rPr>
          <w:rFonts w:ascii="Garamond" w:hAnsi="Garamond"/>
          <w:b/>
          <w:color w:val="943634" w:themeColor="accent2" w:themeShade="BF"/>
          <w:sz w:val="24"/>
          <w:szCs w:val="24"/>
          <w:lang w:val="en-GB"/>
        </w:rPr>
      </w:pPr>
      <w:r w:rsidRPr="00F96BFB">
        <w:rPr>
          <w:rFonts w:ascii="Garamond" w:hAnsi="Garamond"/>
          <w:b/>
          <w:color w:val="943634" w:themeColor="accent2" w:themeShade="BF"/>
          <w:sz w:val="24"/>
          <w:szCs w:val="24"/>
          <w:lang w:val="en-GB"/>
        </w:rPr>
        <w:t>Example of an internet</w:t>
      </w:r>
      <w:r w:rsidR="001B57F6">
        <w:rPr>
          <w:rFonts w:ascii="Garamond" w:hAnsi="Garamond"/>
          <w:b/>
          <w:color w:val="943634" w:themeColor="accent2" w:themeShade="BF"/>
          <w:sz w:val="24"/>
          <w:szCs w:val="24"/>
          <w:lang w:val="en-GB"/>
        </w:rPr>
        <w:t xml:space="preserve"> </w:t>
      </w:r>
      <w:r w:rsidRPr="00F96BFB">
        <w:rPr>
          <w:rFonts w:ascii="Garamond" w:hAnsi="Garamond"/>
          <w:b/>
          <w:color w:val="943634" w:themeColor="accent2" w:themeShade="BF"/>
          <w:sz w:val="24"/>
          <w:szCs w:val="24"/>
          <w:lang w:val="en-GB"/>
        </w:rPr>
        <w:t>site quotation:</w:t>
      </w:r>
    </w:p>
    <w:p w14:paraId="251CD33B" w14:textId="77777777" w:rsidR="00C60E8E" w:rsidRPr="00F96BFB" w:rsidRDefault="00C60E8E" w:rsidP="00C60E8E">
      <w:pPr>
        <w:autoSpaceDE w:val="0"/>
        <w:autoSpaceDN w:val="0"/>
        <w:adjustRightInd w:val="0"/>
        <w:spacing w:after="0" w:line="240" w:lineRule="auto"/>
        <w:jc w:val="both"/>
        <w:rPr>
          <w:rFonts w:ascii="Garamond" w:hAnsi="Garamond"/>
          <w:color w:val="943634" w:themeColor="accent2" w:themeShade="BF"/>
          <w:sz w:val="24"/>
          <w:szCs w:val="24"/>
          <w:lang w:val="en-GB"/>
        </w:rPr>
      </w:pPr>
      <w:r w:rsidRPr="00F96BFB">
        <w:rPr>
          <w:rFonts w:ascii="Garamond" w:hAnsi="Garamond"/>
          <w:bCs/>
          <w:color w:val="943634" w:themeColor="accent2" w:themeShade="BF"/>
          <w:sz w:val="24"/>
          <w:szCs w:val="24"/>
          <w:lang w:val="en-GB"/>
        </w:rPr>
        <w:t>https://www.moore.edu.au/Media/Default/PDFS/AJC/Cameron-A.-The-Blastocyst-and-the-bishop-2004.pdf, accessed 29. 09. 2016.</w:t>
      </w:r>
    </w:p>
    <w:p w14:paraId="5DE04DEE" w14:textId="77777777" w:rsidR="00C60E8E" w:rsidRPr="00F96BFB" w:rsidRDefault="00C60E8E" w:rsidP="00C60E8E">
      <w:pPr>
        <w:pStyle w:val="FootnoteText"/>
        <w:jc w:val="both"/>
        <w:rPr>
          <w:rFonts w:ascii="Garamond" w:hAnsi="Garamond"/>
          <w:color w:val="943634" w:themeColor="accent2" w:themeShade="BF"/>
          <w:sz w:val="24"/>
          <w:szCs w:val="24"/>
          <w:lang w:val="en-GB"/>
        </w:rPr>
      </w:pPr>
    </w:p>
    <w:p w14:paraId="011A98F4" w14:textId="77777777" w:rsidR="00C60E8E" w:rsidRPr="00F96BFB" w:rsidRDefault="00C60E8E" w:rsidP="00C60E8E">
      <w:pPr>
        <w:rPr>
          <w:rFonts w:ascii="Garamond" w:hAnsi="Garamond"/>
          <w:b/>
          <w:color w:val="943634" w:themeColor="accent2" w:themeShade="BF"/>
          <w:sz w:val="24"/>
          <w:szCs w:val="24"/>
          <w:lang w:val="en-GB"/>
        </w:rPr>
      </w:pPr>
      <w:r w:rsidRPr="00F96BFB">
        <w:rPr>
          <w:rFonts w:ascii="Garamond" w:hAnsi="Garamond"/>
          <w:b/>
          <w:color w:val="943634" w:themeColor="accent2" w:themeShade="BF"/>
          <w:sz w:val="24"/>
          <w:szCs w:val="24"/>
          <w:lang w:val="en-GB"/>
        </w:rPr>
        <w:t>Please send all the documents saved in .docx format!</w:t>
      </w:r>
    </w:p>
    <w:p w14:paraId="746A74EC" w14:textId="77777777" w:rsidR="00C60E8E" w:rsidRPr="00F96BFB" w:rsidRDefault="00C60E8E" w:rsidP="00C60E8E">
      <w:pPr>
        <w:rPr>
          <w:rFonts w:ascii="Garamond" w:hAnsi="Garamond"/>
          <w:b/>
          <w:color w:val="943634" w:themeColor="accent2" w:themeShade="BF"/>
          <w:sz w:val="24"/>
          <w:szCs w:val="24"/>
          <w:lang w:val="en-GB"/>
        </w:rPr>
      </w:pPr>
      <w:r w:rsidRPr="00F96BFB">
        <w:rPr>
          <w:rFonts w:ascii="Garamond" w:hAnsi="Garamond"/>
          <w:b/>
          <w:color w:val="943634" w:themeColor="accent2" w:themeShade="BF"/>
          <w:sz w:val="24"/>
          <w:szCs w:val="24"/>
          <w:lang w:val="en-GB"/>
        </w:rPr>
        <w:t>Bibliographical list at the end of the article it is not necessary!</w:t>
      </w:r>
    </w:p>
    <w:p w14:paraId="331468FD" w14:textId="77777777" w:rsidR="004F7B9C" w:rsidRDefault="004F7B9C" w:rsidP="004F7B9C">
      <w:pPr>
        <w:spacing w:after="0" w:line="240" w:lineRule="auto"/>
        <w:jc w:val="center"/>
        <w:rPr>
          <w:rFonts w:ascii="Garamond" w:hAnsi="Garamond"/>
          <w:sz w:val="24"/>
        </w:rPr>
      </w:pPr>
    </w:p>
    <w:sectPr w:rsidR="004F7B9C" w:rsidSect="004F7B9C">
      <w:headerReference w:type="even" r:id="rId7"/>
      <w:headerReference w:type="default" r:id="rId8"/>
      <w:footerReference w:type="default" r:id="rId9"/>
      <w:type w:val="continuous"/>
      <w:pgSz w:w="10325" w:h="14573" w:code="13"/>
      <w:pgMar w:top="1411" w:right="1411"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13434" w14:textId="77777777" w:rsidR="00E95C44" w:rsidRDefault="00E95C44" w:rsidP="009F2457">
      <w:pPr>
        <w:spacing w:after="0" w:line="240" w:lineRule="auto"/>
      </w:pPr>
      <w:r>
        <w:separator/>
      </w:r>
    </w:p>
  </w:endnote>
  <w:endnote w:type="continuationSeparator" w:id="0">
    <w:p w14:paraId="2786A56E" w14:textId="77777777" w:rsidR="00E95C44" w:rsidRDefault="00E95C44" w:rsidP="009F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4E7C" w14:textId="77777777" w:rsidR="001B57F6" w:rsidRDefault="001B57F6" w:rsidP="001B57F6">
    <w:pPr>
      <w:pStyle w:val="Footer"/>
      <w:jc w:val="center"/>
    </w:pPr>
    <w:r>
      <w:fldChar w:fldCharType="begin"/>
    </w:r>
    <w:r>
      <w:instrText xml:space="preserve"> PAGE   \* MERGEFORMAT </w:instrText>
    </w:r>
    <w:r>
      <w:fldChar w:fldCharType="separate"/>
    </w:r>
    <w:r>
      <w:t>43</w:t>
    </w:r>
    <w:r>
      <w:rPr>
        <w:noProof/>
      </w:rPr>
      <w:fldChar w:fldCharType="end"/>
    </w:r>
  </w:p>
  <w:p w14:paraId="4E46D97E" w14:textId="77777777" w:rsidR="001B57F6" w:rsidRDefault="001B5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AB9E8" w14:textId="77777777" w:rsidR="00E95C44" w:rsidRDefault="00E95C44" w:rsidP="009F2457">
      <w:pPr>
        <w:spacing w:after="0" w:line="240" w:lineRule="auto"/>
      </w:pPr>
      <w:r>
        <w:separator/>
      </w:r>
    </w:p>
  </w:footnote>
  <w:footnote w:type="continuationSeparator" w:id="0">
    <w:p w14:paraId="6F5982B8" w14:textId="77777777" w:rsidR="00E95C44" w:rsidRDefault="00E95C44" w:rsidP="009F2457">
      <w:pPr>
        <w:spacing w:after="0" w:line="240" w:lineRule="auto"/>
      </w:pPr>
      <w:r>
        <w:continuationSeparator/>
      </w:r>
    </w:p>
  </w:footnote>
  <w:footnote w:id="1">
    <w:p w14:paraId="7A006793" w14:textId="77777777" w:rsidR="001B57F6" w:rsidRPr="00FF0C06" w:rsidRDefault="001B57F6" w:rsidP="001B57F6">
      <w:pPr>
        <w:pStyle w:val="FootnoteText"/>
        <w:jc w:val="both"/>
        <w:rPr>
          <w:rFonts w:ascii="Garamond" w:hAnsi="Garamond"/>
        </w:rPr>
      </w:pPr>
      <w:r w:rsidRPr="00FF0C06">
        <w:rPr>
          <w:rStyle w:val="FootnoteReference"/>
          <w:rFonts w:ascii="Garamond" w:hAnsi="Garamond"/>
        </w:rPr>
        <w:footnoteRef/>
      </w:r>
      <w:r w:rsidRPr="00FF0C06">
        <w:rPr>
          <w:rFonts w:ascii="Garamond" w:hAnsi="Garamond"/>
        </w:rPr>
        <w:t xml:space="preserve"> K. L. Moore, K. L., T. V. N. Persaud, </w:t>
      </w:r>
      <w:r w:rsidRPr="00FF0C06">
        <w:rPr>
          <w:rFonts w:ascii="Garamond" w:hAnsi="Garamond"/>
          <w:i/>
          <w:iCs/>
        </w:rPr>
        <w:t xml:space="preserve">The Developing Human: Clinically Oriented Embryology, </w:t>
      </w:r>
      <w:r w:rsidRPr="00FF0C06">
        <w:rPr>
          <w:rFonts w:ascii="Garamond" w:hAnsi="Garamond"/>
        </w:rPr>
        <w:t>7th edition, Philadelphia, Saunders, 2003.</w:t>
      </w:r>
    </w:p>
  </w:footnote>
  <w:footnote w:id="2">
    <w:p w14:paraId="7C925BE6" w14:textId="77777777" w:rsidR="001B57F6" w:rsidRPr="00FF0C06" w:rsidRDefault="001B57F6" w:rsidP="001B57F6">
      <w:pPr>
        <w:pStyle w:val="FootnoteText"/>
        <w:jc w:val="both"/>
        <w:rPr>
          <w:rFonts w:ascii="Garamond" w:hAnsi="Garamond"/>
        </w:rPr>
      </w:pPr>
      <w:r w:rsidRPr="00FF0C06">
        <w:rPr>
          <w:rStyle w:val="FootnoteReference"/>
          <w:rFonts w:ascii="Garamond" w:hAnsi="Garamond"/>
        </w:rPr>
        <w:footnoteRef/>
      </w:r>
      <w:r w:rsidRPr="00FF0C06">
        <w:rPr>
          <w:rFonts w:ascii="Garamond" w:hAnsi="Garamond"/>
        </w:rPr>
        <w:t xml:space="preserve"> J. K. </w:t>
      </w:r>
      <w:r w:rsidRPr="00FF0C06">
        <w:rPr>
          <w:rFonts w:ascii="Garamond" w:hAnsi="Garamond"/>
          <w:bCs/>
        </w:rPr>
        <w:t xml:space="preserve">Opoku, &amp; E. Manu, "The status of the human embryo: an analysis from the Christian and Islamic viewpoints", in </w:t>
      </w:r>
      <w:r w:rsidRPr="00FF0C06">
        <w:rPr>
          <w:rFonts w:ascii="Garamond" w:hAnsi="Garamond"/>
          <w:i/>
        </w:rPr>
        <w:t>European Journal of Biology and Medical Science Research</w:t>
      </w:r>
      <w:r w:rsidRPr="00FF0C06">
        <w:rPr>
          <w:rFonts w:ascii="Garamond" w:hAnsi="Garamond"/>
        </w:rPr>
        <w:t xml:space="preserve">, 3 (5) (2015), p. 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896B" w14:textId="77777777" w:rsidR="00C60E8E" w:rsidRDefault="00C60E8E" w:rsidP="00C60E8E">
    <w:pPr>
      <w:pStyle w:val="Header"/>
      <w:jc w:val="center"/>
    </w:pPr>
    <w:r>
      <w:rPr>
        <w:rFonts w:ascii="Garamond" w:hAnsi="Garamond"/>
        <w:sz w:val="24"/>
      </w:rPr>
      <w:fldChar w:fldCharType="begin"/>
    </w:r>
    <w:r>
      <w:rPr>
        <w:rFonts w:ascii="Garamond" w:hAnsi="Garamond"/>
        <w:sz w:val="24"/>
      </w:rPr>
      <w:instrText xml:space="preserve"> MACROBUTTON  AcceptAllChangesInDocAndStopTracking "Please replace this text with the article title" </w:instrText>
    </w:r>
    <w:r>
      <w:rPr>
        <w:rFonts w:ascii="Garamond" w:hAnsi="Garamond"/>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4EF55" w14:textId="77777777" w:rsidR="009F2457" w:rsidRPr="001B57F6" w:rsidRDefault="001B57F6" w:rsidP="004F7B9C">
    <w:pPr>
      <w:spacing w:after="0"/>
      <w:ind w:firstLine="288"/>
      <w:jc w:val="center"/>
      <w:rPr>
        <w:rFonts w:ascii="Garamond" w:hAnsi="Garamond"/>
        <w:sz w:val="24"/>
        <w:lang w:val="en-US"/>
      </w:rPr>
    </w:pPr>
    <w:r>
      <w:rPr>
        <w:rFonts w:ascii="Garamond" w:hAnsi="Garamond"/>
        <w:sz w:val="24"/>
      </w:rPr>
      <w:fldChar w:fldCharType="begin"/>
    </w:r>
    <w:r>
      <w:rPr>
        <w:rFonts w:ascii="Garamond" w:hAnsi="Garamond"/>
        <w:sz w:val="24"/>
      </w:rPr>
      <w:instrText xml:space="preserve"> MACROBUTTON  AcceptAllChangesInDocAndStopTracking "Please replace this text with the author's name. Example: Tijana PETKOVIĆ" </w:instrText>
    </w:r>
    <w:r>
      <w:rPr>
        <w:rFonts w:ascii="Garamond" w:hAnsi="Garamond"/>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B3FF5"/>
    <w:multiLevelType w:val="hybridMultilevel"/>
    <w:tmpl w:val="BB22AD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K0NDMztDQwNjE3sTRQ0lEKTi0uzszPAykwrAUADi41zCwAAAA="/>
  </w:docVars>
  <w:rsids>
    <w:rsidRoot w:val="00CC3099"/>
    <w:rsid w:val="00047E9D"/>
    <w:rsid w:val="001B57F6"/>
    <w:rsid w:val="001C4DCB"/>
    <w:rsid w:val="00381391"/>
    <w:rsid w:val="003F4502"/>
    <w:rsid w:val="00463196"/>
    <w:rsid w:val="00493699"/>
    <w:rsid w:val="004E1037"/>
    <w:rsid w:val="004F7B9C"/>
    <w:rsid w:val="00555877"/>
    <w:rsid w:val="00576331"/>
    <w:rsid w:val="00592C21"/>
    <w:rsid w:val="006C3B07"/>
    <w:rsid w:val="007F368E"/>
    <w:rsid w:val="009042E6"/>
    <w:rsid w:val="00955321"/>
    <w:rsid w:val="009F2457"/>
    <w:rsid w:val="00A500F3"/>
    <w:rsid w:val="00BD73D0"/>
    <w:rsid w:val="00BF2727"/>
    <w:rsid w:val="00C60E8E"/>
    <w:rsid w:val="00CB0D7E"/>
    <w:rsid w:val="00CC3099"/>
    <w:rsid w:val="00D16F3D"/>
    <w:rsid w:val="00D66425"/>
    <w:rsid w:val="00DA5CBA"/>
    <w:rsid w:val="00E95C44"/>
    <w:rsid w:val="00F96BFB"/>
    <w:rsid w:val="00FC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383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3D0"/>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457"/>
    <w:rPr>
      <w:lang w:val="ro-RO"/>
    </w:rPr>
  </w:style>
  <w:style w:type="paragraph" w:styleId="Footer">
    <w:name w:val="footer"/>
    <w:basedOn w:val="Normal"/>
    <w:link w:val="FooterChar"/>
    <w:uiPriority w:val="99"/>
    <w:unhideWhenUsed/>
    <w:rsid w:val="009F2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457"/>
    <w:rPr>
      <w:lang w:val="ro-RO"/>
    </w:rPr>
  </w:style>
  <w:style w:type="paragraph" w:customStyle="1" w:styleId="FA-Affiliations">
    <w:name w:val="FA-Affiliations"/>
    <w:basedOn w:val="Normal"/>
    <w:qFormat/>
    <w:rsid w:val="00381391"/>
    <w:pPr>
      <w:spacing w:after="0"/>
      <w:jc w:val="center"/>
    </w:pPr>
    <w:rPr>
      <w:rFonts w:ascii="Times New Roman" w:hAnsi="Times New Roman" w:cs="Times New Roman"/>
      <w:sz w:val="18"/>
      <w:szCs w:val="18"/>
      <w:lang w:val="en-US"/>
    </w:rPr>
  </w:style>
  <w:style w:type="paragraph" w:styleId="FootnoteText">
    <w:name w:val="footnote text"/>
    <w:basedOn w:val="Normal"/>
    <w:link w:val="FootnoteTextChar"/>
    <w:uiPriority w:val="99"/>
    <w:unhideWhenUsed/>
    <w:rsid w:val="00C60E8E"/>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C60E8E"/>
    <w:rPr>
      <w:rFonts w:ascii="Calibri" w:eastAsia="Times New Roman" w:hAnsi="Calibri" w:cs="Times New Roman"/>
      <w:sz w:val="20"/>
      <w:szCs w:val="20"/>
      <w:lang w:val="en-US"/>
    </w:rPr>
  </w:style>
  <w:style w:type="character" w:styleId="FootnoteReference">
    <w:name w:val="footnote reference"/>
    <w:uiPriority w:val="99"/>
    <w:semiHidden/>
    <w:unhideWhenUsed/>
    <w:rsid w:val="00C60E8E"/>
    <w:rPr>
      <w:vertAlign w:val="superscript"/>
    </w:rPr>
  </w:style>
  <w:style w:type="paragraph" w:styleId="ListParagraph">
    <w:name w:val="List Paragraph"/>
    <w:basedOn w:val="Normal"/>
    <w:uiPriority w:val="34"/>
    <w:qFormat/>
    <w:rsid w:val="001B57F6"/>
    <w:pPr>
      <w:ind w:left="720"/>
      <w:contextualSpacing/>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7731">
      <w:bodyDiv w:val="1"/>
      <w:marLeft w:val="0"/>
      <w:marRight w:val="0"/>
      <w:marTop w:val="0"/>
      <w:marBottom w:val="0"/>
      <w:divBdr>
        <w:top w:val="none" w:sz="0" w:space="0" w:color="auto"/>
        <w:left w:val="none" w:sz="0" w:space="0" w:color="auto"/>
        <w:bottom w:val="none" w:sz="0" w:space="0" w:color="auto"/>
        <w:right w:val="none" w:sz="0" w:space="0" w:color="auto"/>
      </w:divBdr>
    </w:div>
    <w:div w:id="608857095">
      <w:bodyDiv w:val="1"/>
      <w:marLeft w:val="0"/>
      <w:marRight w:val="0"/>
      <w:marTop w:val="0"/>
      <w:marBottom w:val="0"/>
      <w:divBdr>
        <w:top w:val="none" w:sz="0" w:space="0" w:color="auto"/>
        <w:left w:val="none" w:sz="0" w:space="0" w:color="auto"/>
        <w:bottom w:val="none" w:sz="0" w:space="0" w:color="auto"/>
        <w:right w:val="none" w:sz="0" w:space="0" w:color="auto"/>
      </w:divBdr>
    </w:div>
    <w:div w:id="788817968">
      <w:bodyDiv w:val="1"/>
      <w:marLeft w:val="0"/>
      <w:marRight w:val="0"/>
      <w:marTop w:val="0"/>
      <w:marBottom w:val="0"/>
      <w:divBdr>
        <w:top w:val="none" w:sz="0" w:space="0" w:color="auto"/>
        <w:left w:val="none" w:sz="0" w:space="0" w:color="auto"/>
        <w:bottom w:val="none" w:sz="0" w:space="0" w:color="auto"/>
        <w:right w:val="none" w:sz="0" w:space="0" w:color="auto"/>
      </w:divBdr>
    </w:div>
    <w:div w:id="1220943787">
      <w:bodyDiv w:val="1"/>
      <w:marLeft w:val="0"/>
      <w:marRight w:val="0"/>
      <w:marTop w:val="0"/>
      <w:marBottom w:val="0"/>
      <w:divBdr>
        <w:top w:val="none" w:sz="0" w:space="0" w:color="auto"/>
        <w:left w:val="none" w:sz="0" w:space="0" w:color="auto"/>
        <w:bottom w:val="none" w:sz="0" w:space="0" w:color="auto"/>
        <w:right w:val="none" w:sz="0" w:space="0" w:color="auto"/>
      </w:divBdr>
    </w:div>
    <w:div w:id="1394623162">
      <w:bodyDiv w:val="1"/>
      <w:marLeft w:val="0"/>
      <w:marRight w:val="0"/>
      <w:marTop w:val="0"/>
      <w:marBottom w:val="0"/>
      <w:divBdr>
        <w:top w:val="none" w:sz="0" w:space="0" w:color="auto"/>
        <w:left w:val="none" w:sz="0" w:space="0" w:color="auto"/>
        <w:bottom w:val="none" w:sz="0" w:space="0" w:color="auto"/>
        <w:right w:val="none" w:sz="0" w:space="0" w:color="auto"/>
      </w:divBdr>
    </w:div>
    <w:div w:id="1548446717">
      <w:bodyDiv w:val="1"/>
      <w:marLeft w:val="0"/>
      <w:marRight w:val="0"/>
      <w:marTop w:val="0"/>
      <w:marBottom w:val="0"/>
      <w:divBdr>
        <w:top w:val="none" w:sz="0" w:space="0" w:color="auto"/>
        <w:left w:val="none" w:sz="0" w:space="0" w:color="auto"/>
        <w:bottom w:val="none" w:sz="0" w:space="0" w:color="auto"/>
        <w:right w:val="none" w:sz="0" w:space="0" w:color="auto"/>
      </w:divBdr>
    </w:div>
    <w:div w:id="1835682840">
      <w:bodyDiv w:val="1"/>
      <w:marLeft w:val="0"/>
      <w:marRight w:val="0"/>
      <w:marTop w:val="0"/>
      <w:marBottom w:val="0"/>
      <w:divBdr>
        <w:top w:val="none" w:sz="0" w:space="0" w:color="auto"/>
        <w:left w:val="none" w:sz="0" w:space="0" w:color="auto"/>
        <w:bottom w:val="none" w:sz="0" w:space="0" w:color="auto"/>
        <w:right w:val="none" w:sz="0" w:space="0" w:color="auto"/>
      </w:divBdr>
    </w:div>
    <w:div w:id="19285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Denisa.dotx</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Baciu</dc:creator>
  <cp:keywords/>
  <dc:description/>
  <cp:lastModifiedBy>Baciu Ciprian</cp:lastModifiedBy>
  <cp:revision>1</cp:revision>
  <dcterms:created xsi:type="dcterms:W3CDTF">2018-09-23T17:16:00Z</dcterms:created>
  <dcterms:modified xsi:type="dcterms:W3CDTF">2018-09-23T17:17:00Z</dcterms:modified>
</cp:coreProperties>
</file>